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6DB5A" w14:textId="77777777" w:rsidR="00B741FE" w:rsidRDefault="00B741FE">
      <w:pPr>
        <w:jc w:val="center"/>
        <w:rPr>
          <w:rFonts w:ascii="Times New Roman" w:hAnsi="Times New Roman"/>
          <w:b/>
          <w:sz w:val="24"/>
          <w:szCs w:val="44"/>
        </w:rPr>
      </w:pPr>
    </w:p>
    <w:p w14:paraId="7F887BF9" w14:textId="77777777" w:rsidR="00371E12" w:rsidRDefault="00371E12" w:rsidP="00371E12">
      <w:pPr>
        <w:spacing w:after="0" w:line="240" w:lineRule="auto"/>
        <w:jc w:val="center"/>
        <w:rPr>
          <w:rFonts w:ascii="Times New Roman" w:hAnsi="Times New Roman"/>
          <w:b/>
          <w:bCs/>
          <w:color w:val="171796"/>
          <w:sz w:val="28"/>
          <w:szCs w:val="40"/>
        </w:rPr>
      </w:pPr>
      <w:r w:rsidRPr="000A79D3">
        <w:rPr>
          <w:rFonts w:ascii="Times New Roman" w:hAnsi="Times New Roman"/>
          <w:b/>
          <w:bCs/>
          <w:color w:val="171796"/>
          <w:sz w:val="28"/>
          <w:szCs w:val="40"/>
        </w:rPr>
        <w:t xml:space="preserve">Ograničeni poziv na dostavu projektnih prijedloga za dodjelu bespovratnih sredstava "Razvoj okvira za osiguranje adekvatnih vještina u kontekstu zelenih poslova potrebnih za obnovu nakon potresa" </w:t>
      </w:r>
    </w:p>
    <w:p w14:paraId="73FF7862" w14:textId="5FFE727D" w:rsidR="00035E3C" w:rsidRDefault="00035E3C" w:rsidP="00035E3C">
      <w:pPr>
        <w:spacing w:after="0" w:line="240" w:lineRule="auto"/>
        <w:jc w:val="center"/>
        <w:rPr>
          <w:rFonts w:ascii="Times New Roman" w:eastAsia="Times New Roman" w:hAnsi="Times New Roman" w:cs="Times New Roman"/>
          <w:b/>
          <w:i/>
          <w:sz w:val="24"/>
          <w:szCs w:val="24"/>
        </w:rPr>
      </w:pPr>
      <w:r w:rsidRPr="00B24E6E">
        <w:rPr>
          <w:rFonts w:ascii="Times New Roman" w:eastAsia="Times New Roman" w:hAnsi="Times New Roman" w:cs="Times New Roman"/>
          <w:b/>
          <w:sz w:val="24"/>
          <w:szCs w:val="24"/>
        </w:rPr>
        <w:t>(</w:t>
      </w:r>
      <w:r w:rsidRPr="00B24E6E">
        <w:rPr>
          <w:rFonts w:ascii="Times New Roman" w:eastAsia="Times New Roman" w:hAnsi="Times New Roman" w:cs="Times New Roman"/>
          <w:b/>
          <w:i/>
          <w:sz w:val="24"/>
          <w:szCs w:val="24"/>
        </w:rPr>
        <w:t>referentni broj: NPOO.C6.1.R2.01)</w:t>
      </w:r>
    </w:p>
    <w:p w14:paraId="0215BD3A" w14:textId="77777777" w:rsidR="00573F60" w:rsidRDefault="00573F60" w:rsidP="00573F60">
      <w:pPr>
        <w:tabs>
          <w:tab w:val="left" w:pos="1257"/>
        </w:tabs>
        <w:spacing w:after="120" w:line="252" w:lineRule="auto"/>
        <w:jc w:val="center"/>
        <w:rPr>
          <w:rFonts w:ascii="Times New Roman" w:hAnsi="Times New Roman"/>
          <w:b/>
          <w:bCs/>
          <w:color w:val="171796"/>
          <w:sz w:val="28"/>
          <w:szCs w:val="40"/>
        </w:rPr>
      </w:pPr>
      <w:bookmarkStart w:id="0" w:name="_Hlk185341658"/>
      <w:bookmarkEnd w:id="0"/>
    </w:p>
    <w:p w14:paraId="7D32AC09" w14:textId="5D2C285F" w:rsidR="00B741FE" w:rsidRDefault="00507F21">
      <w:pPr>
        <w:tabs>
          <w:tab w:val="left" w:pos="1257"/>
        </w:tabs>
        <w:spacing w:line="252" w:lineRule="auto"/>
        <w:jc w:val="center"/>
        <w:rPr>
          <w:rFonts w:ascii="Times New Roman" w:hAnsi="Times New Roman"/>
          <w:b/>
          <w:bCs/>
          <w:color w:val="171796"/>
          <w:sz w:val="28"/>
          <w:szCs w:val="40"/>
        </w:rPr>
      </w:pPr>
      <w:r>
        <w:rPr>
          <w:rFonts w:ascii="Times New Roman" w:hAnsi="Times New Roman"/>
          <w:b/>
          <w:bCs/>
          <w:color w:val="171796"/>
          <w:sz w:val="28"/>
          <w:szCs w:val="40"/>
        </w:rPr>
        <w:t xml:space="preserve">PRILOG </w:t>
      </w:r>
      <w:r w:rsidR="00371E12">
        <w:rPr>
          <w:rFonts w:ascii="Times New Roman" w:hAnsi="Times New Roman"/>
          <w:b/>
          <w:bCs/>
          <w:color w:val="171796"/>
          <w:sz w:val="28"/>
          <w:szCs w:val="40"/>
        </w:rPr>
        <w:t>5</w:t>
      </w:r>
      <w:r>
        <w:rPr>
          <w:rFonts w:ascii="Times New Roman" w:hAnsi="Times New Roman"/>
          <w:b/>
          <w:bCs/>
          <w:color w:val="171796"/>
          <w:sz w:val="28"/>
          <w:szCs w:val="40"/>
        </w:rPr>
        <w:t xml:space="preserve">. </w:t>
      </w:r>
    </w:p>
    <w:p w14:paraId="1BFEC25E" w14:textId="77777777" w:rsidR="00B741FE" w:rsidRDefault="00507F21">
      <w:pPr>
        <w:spacing w:after="0" w:line="252" w:lineRule="auto"/>
        <w:jc w:val="center"/>
        <w:rPr>
          <w:rFonts w:ascii="Times New Roman" w:hAnsi="Times New Roman"/>
          <w:sz w:val="24"/>
          <w:szCs w:val="24"/>
        </w:rPr>
      </w:pPr>
      <w:r>
        <w:rPr>
          <w:rFonts w:ascii="Times New Roman" w:hAnsi="Times New Roman"/>
          <w:b/>
          <w:sz w:val="24"/>
          <w:szCs w:val="24"/>
        </w:rPr>
        <w:t>METODOLOGIJA IZRAČUNA STANDARDNE VELIČINE JEDINIČNOG TROŠKA</w:t>
      </w:r>
    </w:p>
    <w:p w14:paraId="1773559C" w14:textId="77777777" w:rsidR="00B741FE" w:rsidRDefault="00B741FE">
      <w:pPr>
        <w:spacing w:after="0" w:line="252" w:lineRule="auto"/>
        <w:jc w:val="both"/>
        <w:rPr>
          <w:rFonts w:ascii="Times New Roman" w:hAnsi="Times New Roman"/>
          <w:sz w:val="24"/>
          <w:szCs w:val="24"/>
        </w:rPr>
      </w:pPr>
    </w:p>
    <w:p w14:paraId="3EA803C2" w14:textId="77777777" w:rsidR="00B741FE" w:rsidRDefault="00B741FE">
      <w:pPr>
        <w:spacing w:after="0" w:line="252" w:lineRule="auto"/>
        <w:jc w:val="both"/>
        <w:rPr>
          <w:rFonts w:ascii="Times New Roman" w:hAnsi="Times New Roman"/>
          <w:sz w:val="24"/>
          <w:szCs w:val="24"/>
        </w:rPr>
      </w:pPr>
    </w:p>
    <w:p w14:paraId="4EA50B42" w14:textId="77777777" w:rsidR="00B741FE" w:rsidRDefault="00507F21">
      <w:pPr>
        <w:spacing w:after="0" w:line="252" w:lineRule="auto"/>
        <w:jc w:val="both"/>
        <w:rPr>
          <w:rFonts w:ascii="Times New Roman" w:hAnsi="Times New Roman"/>
          <w:sz w:val="24"/>
          <w:szCs w:val="24"/>
        </w:rPr>
      </w:pPr>
      <w:r>
        <w:rPr>
          <w:rFonts w:ascii="Times New Roman" w:hAnsi="Times New Roman"/>
          <w:sz w:val="24"/>
          <w:szCs w:val="24"/>
        </w:rPr>
        <w:t>Ovaj dokument pojašnjava metodologiju primjene pojednostavljene metode financiranja, odnosno izračuna standardne veličine jediničnog troška osoblja. Izračun za postojeće zaposlenike i novozaposlene vrši se na način opisan u nastavku.</w:t>
      </w:r>
    </w:p>
    <w:p w14:paraId="2CADBE64" w14:textId="77777777" w:rsidR="00B741FE" w:rsidRDefault="00B741FE">
      <w:pPr>
        <w:spacing w:after="0" w:line="252" w:lineRule="auto"/>
        <w:jc w:val="both"/>
        <w:rPr>
          <w:rFonts w:ascii="Times New Roman" w:hAnsi="Times New Roman"/>
          <w:sz w:val="24"/>
          <w:szCs w:val="24"/>
        </w:rPr>
      </w:pPr>
    </w:p>
    <w:p w14:paraId="206DCCE2" w14:textId="77777777" w:rsidR="00B741FE" w:rsidRDefault="00507F21">
      <w:pPr>
        <w:pStyle w:val="Bezproreda"/>
        <w:spacing w:after="120" w:line="276" w:lineRule="auto"/>
        <w:jc w:val="both"/>
        <w:rPr>
          <w:rFonts w:ascii="Times New Roman" w:eastAsiaTheme="minorHAnsi" w:hAnsi="Times New Roman" w:cs="Times New Roman"/>
          <w:bCs/>
          <w:sz w:val="24"/>
          <w:szCs w:val="24"/>
        </w:rPr>
      </w:pPr>
      <w:r>
        <w:rPr>
          <w:rFonts w:ascii="Times New Roman" w:eastAsiaTheme="minorHAnsi" w:hAnsi="Times New Roman" w:cs="Times New Roman"/>
          <w:bCs/>
          <w:sz w:val="24"/>
          <w:szCs w:val="24"/>
        </w:rPr>
        <w:t xml:space="preserve">U slučaju odabira projektnog prijedloga za financiranje, a prije potpisa Ugovora o dodjeli bespovratnih sredstava, potrebno je dostaviti sljedeće popratne dokumente: </w:t>
      </w:r>
    </w:p>
    <w:p w14:paraId="2F59C9AD" w14:textId="77777777" w:rsidR="00B741FE" w:rsidRDefault="00507F21">
      <w:pPr>
        <w:pStyle w:val="Bezproreda"/>
        <w:numPr>
          <w:ilvl w:val="0"/>
          <w:numId w:val="3"/>
        </w:numPr>
        <w:spacing w:after="120" w:line="276" w:lineRule="auto"/>
        <w:contextualSpacing/>
        <w:jc w:val="both"/>
        <w:rPr>
          <w:rFonts w:ascii="Times New Roman" w:eastAsiaTheme="minorHAnsi" w:hAnsi="Times New Roman" w:cs="Times New Roman"/>
          <w:bCs/>
          <w:sz w:val="24"/>
          <w:szCs w:val="24"/>
        </w:rPr>
      </w:pPr>
      <w:r>
        <w:rPr>
          <w:rFonts w:ascii="Times New Roman" w:eastAsiaTheme="minorHAnsi" w:hAnsi="Times New Roman" w:cs="Times New Roman"/>
          <w:bCs/>
          <w:sz w:val="24"/>
          <w:szCs w:val="24"/>
        </w:rPr>
        <w:t xml:space="preserve">Dokumenti (akti) temeljem kojih se utvrđuje iznos bruto plaće  - ugovor/i o radu i pripadajući dodaci ugovoru o radu, odluka o visini plaće, ili ekvivalentno; </w:t>
      </w:r>
    </w:p>
    <w:p w14:paraId="229AC7F1" w14:textId="77777777" w:rsidR="00B741FE" w:rsidRDefault="00507F21">
      <w:pPr>
        <w:pStyle w:val="Bezproreda"/>
        <w:numPr>
          <w:ilvl w:val="0"/>
          <w:numId w:val="3"/>
        </w:numPr>
        <w:spacing w:after="120" w:line="276" w:lineRule="auto"/>
        <w:contextualSpacing/>
        <w:jc w:val="both"/>
        <w:rPr>
          <w:rFonts w:ascii="Times New Roman" w:eastAsiaTheme="minorHAnsi" w:hAnsi="Times New Roman" w:cs="Times New Roman"/>
          <w:bCs/>
          <w:sz w:val="24"/>
          <w:szCs w:val="24"/>
        </w:rPr>
      </w:pPr>
      <w:r>
        <w:rPr>
          <w:rFonts w:ascii="Times New Roman" w:eastAsiaTheme="minorHAnsi" w:hAnsi="Times New Roman" w:cs="Times New Roman"/>
          <w:bCs/>
          <w:sz w:val="24"/>
          <w:szCs w:val="24"/>
        </w:rPr>
        <w:t xml:space="preserve">Platne liste (IP1 obrazac) za razdoblje od 12 uzastopnih punih mjeseci koji prethode projektnom prijedlogu. </w:t>
      </w:r>
    </w:p>
    <w:p w14:paraId="26F53714" w14:textId="77777777" w:rsidR="00B741FE" w:rsidRDefault="00B741FE">
      <w:pPr>
        <w:spacing w:after="0" w:line="252" w:lineRule="auto"/>
        <w:jc w:val="both"/>
        <w:rPr>
          <w:rFonts w:ascii="Times New Roman" w:hAnsi="Times New Roman"/>
          <w:sz w:val="24"/>
          <w:szCs w:val="24"/>
        </w:rPr>
      </w:pPr>
    </w:p>
    <w:p w14:paraId="284EBB88" w14:textId="77777777" w:rsidR="00B741FE" w:rsidRDefault="00507F21">
      <w:pPr>
        <w:pStyle w:val="bullets"/>
        <w:numPr>
          <w:ilvl w:val="0"/>
          <w:numId w:val="0"/>
        </w:numPr>
        <w:spacing w:after="120" w:line="252" w:lineRule="auto"/>
        <w:jc w:val="both"/>
        <w:rPr>
          <w:rFonts w:ascii="Times New Roman" w:hAnsi="Times New Roman" w:cs="Times New Roman"/>
          <w:sz w:val="24"/>
          <w:szCs w:val="24"/>
          <w:lang w:val="hr-HR"/>
        </w:rPr>
      </w:pPr>
      <w:r>
        <w:rPr>
          <w:rFonts w:ascii="Times New Roman" w:hAnsi="Times New Roman" w:cs="Times New Roman"/>
          <w:b/>
          <w:bCs/>
          <w:sz w:val="24"/>
          <w:szCs w:val="24"/>
          <w:lang w:val="hr-HR"/>
        </w:rPr>
        <w:t>Troškovi osoblja</w:t>
      </w:r>
      <w:r>
        <w:rPr>
          <w:rFonts w:ascii="Times New Roman" w:hAnsi="Times New Roman" w:cs="Times New Roman"/>
          <w:sz w:val="24"/>
          <w:szCs w:val="24"/>
          <w:lang w:val="hr-HR"/>
        </w:rPr>
        <w:t xml:space="preserve"> (bruto 2) zaposlenih kod prijavitelja ili partnera koji će raditi na provedbi projekta izračunavaju se na način da se zadnji dokumentirani godišnji bruto iznos troškova plaća osoblja podijeli s 1720 sati za osobe koje rade u punom radnom vremenu ili odgovarajućim razmjernim brojem sati od 1720 za osobe koje rade u nepunom radnom vremenu (npr. ukoliko je osoba zaposlena na nepuno radno vrijeme od 4 sata dnevno, izračun troškova se vrši na način da se dokumentirani godišnji bruto 2 iznos troškova plaća djelatnika podijeli s 860 sati; 1720*50% radnog vremena). Ukupni broj sati prijavljen po osobi za određenu godinu provedbe projekta ne smije prelaziti broj sati upotrijebljen pri izračunu te satnice.</w:t>
      </w:r>
    </w:p>
    <w:p w14:paraId="6F7D0BE6" w14:textId="77777777" w:rsidR="00B741FE" w:rsidRDefault="00B741FE">
      <w:pPr>
        <w:pStyle w:val="bullets"/>
        <w:numPr>
          <w:ilvl w:val="0"/>
          <w:numId w:val="0"/>
        </w:numPr>
        <w:spacing w:after="120" w:line="252" w:lineRule="auto"/>
        <w:ind w:left="12"/>
        <w:jc w:val="both"/>
        <w:rPr>
          <w:rFonts w:ascii="Times New Roman" w:hAnsi="Times New Roman" w:cs="Times New Roman"/>
          <w:sz w:val="24"/>
          <w:szCs w:val="24"/>
          <w:lang w:val="hr-HR"/>
        </w:rPr>
      </w:pPr>
    </w:p>
    <w:p w14:paraId="2B3E58F0" w14:textId="77777777" w:rsidR="00B741FE" w:rsidRDefault="00507F21">
      <w:pPr>
        <w:pStyle w:val="bullets"/>
        <w:numPr>
          <w:ilvl w:val="0"/>
          <w:numId w:val="0"/>
        </w:numPr>
        <w:spacing w:after="120" w:line="252" w:lineRule="auto"/>
        <w:ind w:left="12"/>
        <w:jc w:val="both"/>
        <w:rPr>
          <w:rFonts w:ascii="Times New Roman" w:hAnsi="Times New Roman" w:cs="Times New Roman"/>
          <w:sz w:val="24"/>
          <w:szCs w:val="24"/>
          <w:lang w:val="hr-HR"/>
        </w:rPr>
      </w:pPr>
      <w:r>
        <w:rPr>
          <w:rFonts w:ascii="Times New Roman" w:hAnsi="Times New Roman" w:cs="Times New Roman"/>
          <w:sz w:val="24"/>
          <w:szCs w:val="24"/>
          <w:lang w:val="hr-HR"/>
        </w:rPr>
        <w:t>1.1.</w:t>
      </w:r>
      <w:r>
        <w:rPr>
          <w:rFonts w:ascii="Times New Roman" w:hAnsi="Times New Roman" w:cs="Times New Roman"/>
          <w:sz w:val="24"/>
          <w:szCs w:val="24"/>
          <w:lang w:val="hr-HR"/>
        </w:rPr>
        <w:tab/>
      </w:r>
      <w:r>
        <w:rPr>
          <w:rFonts w:ascii="Times New Roman" w:hAnsi="Times New Roman" w:cs="Times New Roman"/>
          <w:b/>
          <w:bCs/>
          <w:sz w:val="24"/>
          <w:szCs w:val="24"/>
          <w:lang w:val="hr-HR"/>
        </w:rPr>
        <w:t>Postojeći zaposleni</w:t>
      </w:r>
      <w:r>
        <w:rPr>
          <w:rFonts w:ascii="Times New Roman" w:hAnsi="Times New Roman" w:cs="Times New Roman"/>
          <w:sz w:val="24"/>
          <w:szCs w:val="24"/>
          <w:lang w:val="hr-HR"/>
        </w:rPr>
        <w:t xml:space="preserve">, za radno mjesto na kojem je djelatnik zaposlen kod prijavitelja ili partnera u mjesecu koji prethodi mjesecu predaje projektnog prijedloga, bruto iznos temeljen je na stvarnoj plaći tog radnog mjesta: </w:t>
      </w:r>
    </w:p>
    <w:p w14:paraId="11E6B5B3" w14:textId="77777777" w:rsidR="00B741FE" w:rsidRDefault="00507F21">
      <w:pPr>
        <w:pStyle w:val="bullets"/>
        <w:numPr>
          <w:ilvl w:val="0"/>
          <w:numId w:val="0"/>
        </w:numPr>
        <w:spacing w:after="120" w:line="252" w:lineRule="auto"/>
        <w:ind w:left="12"/>
        <w:jc w:val="both"/>
        <w:rPr>
          <w:rFonts w:ascii="Times New Roman" w:hAnsi="Times New Roman" w:cs="Times New Roman"/>
          <w:sz w:val="24"/>
          <w:szCs w:val="24"/>
          <w:lang w:val="hr-HR"/>
        </w:rPr>
      </w:pPr>
      <w:r>
        <w:rPr>
          <w:rFonts w:ascii="Times New Roman" w:hAnsi="Times New Roman" w:cs="Times New Roman"/>
          <w:sz w:val="24"/>
          <w:szCs w:val="24"/>
          <w:lang w:val="hr-HR"/>
        </w:rPr>
        <w:t>a) za radno mjesto na kojem postoji djelatnik koji je bio zaposlen kod prijavitelja ili partnera zadnjih 12 uzastopnih punih mjeseci koji prethode mjesecu u kojem se podnosi projektni prijedlog, bruto iznos temeljen je na stvarnoj plaći tog radnog mjesta;</w:t>
      </w:r>
    </w:p>
    <w:p w14:paraId="5AD54494" w14:textId="77777777" w:rsidR="00B741FE" w:rsidRDefault="00507F21">
      <w:pPr>
        <w:pStyle w:val="bullets"/>
        <w:numPr>
          <w:ilvl w:val="0"/>
          <w:numId w:val="0"/>
        </w:numPr>
        <w:spacing w:after="120" w:line="252" w:lineRule="auto"/>
        <w:ind w:left="12"/>
        <w:jc w:val="both"/>
        <w:rPr>
          <w:rFonts w:ascii="Times New Roman" w:hAnsi="Times New Roman" w:cs="Times New Roman"/>
          <w:sz w:val="24"/>
          <w:szCs w:val="24"/>
          <w:lang w:val="hr-HR"/>
        </w:rPr>
      </w:pPr>
      <w:r>
        <w:rPr>
          <w:rFonts w:ascii="Times New Roman" w:hAnsi="Times New Roman" w:cs="Times New Roman"/>
          <w:sz w:val="24"/>
          <w:szCs w:val="24"/>
          <w:lang w:val="hr-HR"/>
        </w:rPr>
        <w:lastRenderedPageBreak/>
        <w:t>b) za radno mjesto na kojem postoji djelatnik koji je bio zaposlen kod prijavitelja ili partnera kraće od 12 uzastopnih punih mjeseci koji prethode mjesecu u kojem se podnosi projektni prijedlog te sa čijim se platnim listama može dokazati trošak bruto plaće, izračun će se izvesti iz dostupnih zabilježenih bruto iznosa troškova zapošljavanja tog djelatnika za mjesece u kojima je djelatnik radio kod prijavitelja ili partnera za mjesece koji prethode mjesecu u kojem se podnosi projektni prijedlog, koji se onda propisno prilagođuju za razdoblje od 12 mjeseci.</w:t>
      </w:r>
    </w:p>
    <w:p w14:paraId="42B4D694" w14:textId="77777777" w:rsidR="00B741FE" w:rsidRDefault="00B741FE">
      <w:pPr>
        <w:spacing w:after="160" w:line="252" w:lineRule="auto"/>
        <w:jc w:val="both"/>
        <w:rPr>
          <w:rFonts w:ascii="Times New Roman" w:eastAsiaTheme="minorHAnsi" w:hAnsi="Times New Roman" w:cs="Times New Roman"/>
          <w:sz w:val="24"/>
          <w:szCs w:val="24"/>
        </w:rPr>
      </w:pPr>
    </w:p>
    <w:p w14:paraId="2E98CC6D" w14:textId="77777777" w:rsidR="00B741FE" w:rsidRDefault="00507F21">
      <w:pPr>
        <w:pStyle w:val="bullets"/>
        <w:numPr>
          <w:ilvl w:val="0"/>
          <w:numId w:val="0"/>
        </w:numPr>
        <w:spacing w:after="120" w:line="252" w:lineRule="auto"/>
        <w:ind w:left="12"/>
        <w:jc w:val="both"/>
        <w:rPr>
          <w:rFonts w:ascii="Times New Roman" w:hAnsi="Times New Roman" w:cs="Times New Roman"/>
          <w:sz w:val="24"/>
          <w:szCs w:val="24"/>
          <w:lang w:val="hr-HR"/>
        </w:rPr>
      </w:pPr>
      <w:r>
        <w:rPr>
          <w:rFonts w:ascii="Times New Roman" w:hAnsi="Times New Roman" w:cs="Times New Roman"/>
          <w:sz w:val="24"/>
          <w:szCs w:val="24"/>
          <w:lang w:val="hr-HR"/>
        </w:rPr>
        <w:t>1.2.</w:t>
      </w:r>
      <w:r>
        <w:rPr>
          <w:rFonts w:ascii="Times New Roman" w:hAnsi="Times New Roman" w:cs="Times New Roman"/>
          <w:sz w:val="24"/>
          <w:szCs w:val="24"/>
          <w:lang w:val="hr-HR"/>
        </w:rPr>
        <w:tab/>
      </w:r>
      <w:r>
        <w:rPr>
          <w:rFonts w:ascii="Times New Roman" w:hAnsi="Times New Roman" w:cs="Times New Roman"/>
          <w:b/>
          <w:bCs/>
          <w:sz w:val="24"/>
          <w:szCs w:val="24"/>
          <w:lang w:val="hr-HR"/>
        </w:rPr>
        <w:t>Novozaposleni</w:t>
      </w:r>
      <w:r>
        <w:rPr>
          <w:rFonts w:ascii="Times New Roman" w:hAnsi="Times New Roman" w:cs="Times New Roman"/>
          <w:sz w:val="24"/>
          <w:szCs w:val="24"/>
          <w:lang w:val="hr-HR"/>
        </w:rPr>
        <w:t>, godišnji bruto iznosi troškova plaća izračunavaju se:</w:t>
      </w:r>
    </w:p>
    <w:p w14:paraId="36E73136" w14:textId="77777777" w:rsidR="00B741FE" w:rsidRDefault="00507F21">
      <w:pPr>
        <w:pStyle w:val="bullets"/>
        <w:numPr>
          <w:ilvl w:val="0"/>
          <w:numId w:val="0"/>
        </w:numPr>
        <w:spacing w:after="120" w:line="252" w:lineRule="auto"/>
        <w:ind w:left="12"/>
        <w:jc w:val="both"/>
        <w:rPr>
          <w:rFonts w:ascii="Times New Roman" w:hAnsi="Times New Roman" w:cs="Times New Roman"/>
          <w:sz w:val="24"/>
          <w:szCs w:val="24"/>
          <w:lang w:val="hr-HR"/>
        </w:rPr>
      </w:pPr>
      <w:r>
        <w:rPr>
          <w:rFonts w:ascii="Times New Roman" w:hAnsi="Times New Roman" w:cs="Times New Roman"/>
          <w:sz w:val="24"/>
          <w:szCs w:val="24"/>
          <w:lang w:val="hr-HR"/>
        </w:rPr>
        <w:t>a) za novozaposlene osobe godišnji bruto iznosi troškova plaća izračunavaju se na temelju dokumentiranih podataka o visini plaće drugog zaposlenog osoblja raspoređenog na isto ili slično radno mjesto, a čiji su zadnji godišnji troškovi dostupni za referentno razdoblje odnosno za 12 uzastopnih mjeseci koji prethode projektnom prijedlogu;</w:t>
      </w:r>
    </w:p>
    <w:p w14:paraId="686BB214" w14:textId="66E521D6" w:rsidR="00B741FE" w:rsidRDefault="00507F21" w:rsidP="00CC12A0">
      <w:pPr>
        <w:pStyle w:val="bullets"/>
        <w:numPr>
          <w:ilvl w:val="0"/>
          <w:numId w:val="0"/>
        </w:numPr>
        <w:spacing w:after="120" w:line="252" w:lineRule="auto"/>
        <w:ind w:left="12"/>
        <w:jc w:val="both"/>
        <w:rPr>
          <w:rFonts w:ascii="Times New Roman" w:hAnsi="Times New Roman" w:cs="Times New Roman"/>
          <w:sz w:val="24"/>
          <w:szCs w:val="24"/>
          <w:lang w:val="hr-HR"/>
        </w:rPr>
      </w:pPr>
      <w:r>
        <w:rPr>
          <w:rFonts w:ascii="Times New Roman" w:hAnsi="Times New Roman" w:cs="Times New Roman"/>
          <w:sz w:val="24"/>
          <w:szCs w:val="24"/>
          <w:lang w:val="hr-HR"/>
        </w:rPr>
        <w:t xml:space="preserve">b) isključivo u slučaju kada kod prijavitelja niti jedna od zaposlenih osoba nije raspoređena na isto ili slično radno mjesto koje bi odgovaralo radnom mjestu novozaposlene osobe, izračun se vrši temeljem koeficijenata navedenih u </w:t>
      </w:r>
      <w:r w:rsidR="00114A2B" w:rsidRPr="00114A2B">
        <w:rPr>
          <w:rFonts w:ascii="Times New Roman" w:hAnsi="Times New Roman" w:cs="Times New Roman"/>
          <w:sz w:val="24"/>
          <w:szCs w:val="24"/>
          <w:lang w:val="hr-HR"/>
        </w:rPr>
        <w:t>Uredb</w:t>
      </w:r>
      <w:r w:rsidR="00114A2B">
        <w:rPr>
          <w:rFonts w:ascii="Times New Roman" w:hAnsi="Times New Roman" w:cs="Times New Roman"/>
          <w:sz w:val="24"/>
          <w:szCs w:val="24"/>
          <w:lang w:val="hr-HR"/>
        </w:rPr>
        <w:t>i</w:t>
      </w:r>
      <w:r w:rsidR="00114A2B" w:rsidRPr="00114A2B">
        <w:rPr>
          <w:rFonts w:ascii="Times New Roman" w:hAnsi="Times New Roman" w:cs="Times New Roman"/>
          <w:sz w:val="24"/>
          <w:szCs w:val="24"/>
          <w:lang w:val="hr-HR"/>
        </w:rPr>
        <w:t xml:space="preserve"> o nazivima radnih mjesta, uvjetima za raspored i koeficijentima za obračun plaće u javnim službama</w:t>
      </w:r>
      <w:r>
        <w:rPr>
          <w:rFonts w:ascii="Times New Roman" w:hAnsi="Times New Roman" w:cs="Times New Roman"/>
          <w:sz w:val="24"/>
          <w:szCs w:val="24"/>
          <w:lang w:val="hr-HR"/>
        </w:rPr>
        <w:t xml:space="preserve"> (NN </w:t>
      </w:r>
      <w:r w:rsidR="00114A2B">
        <w:rPr>
          <w:rFonts w:ascii="Times New Roman" w:hAnsi="Times New Roman" w:cs="Times New Roman"/>
          <w:sz w:val="24"/>
          <w:szCs w:val="24"/>
          <w:lang w:val="hr-HR"/>
        </w:rPr>
        <w:t>22/2024</w:t>
      </w:r>
      <w:r>
        <w:rPr>
          <w:rFonts w:ascii="Times New Roman" w:hAnsi="Times New Roman" w:cs="Times New Roman"/>
          <w:sz w:val="24"/>
          <w:szCs w:val="24"/>
          <w:lang w:val="hr-HR"/>
        </w:rPr>
        <w:t xml:space="preserve">). </w:t>
      </w:r>
    </w:p>
    <w:p w14:paraId="332EF019" w14:textId="77777777" w:rsidR="00114A2B" w:rsidRDefault="00507F21" w:rsidP="00CC12A0">
      <w:pPr>
        <w:pStyle w:val="Opisslike"/>
        <w:keepNext/>
        <w:jc w:val="both"/>
        <w:rPr>
          <w:rFonts w:ascii="Times New Roman" w:eastAsiaTheme="minorHAnsi" w:hAnsi="Times New Roman" w:cs="Times New Roman"/>
          <w:i w:val="0"/>
          <w:iCs w:val="0"/>
          <w:color w:val="auto"/>
          <w:sz w:val="24"/>
          <w:szCs w:val="24"/>
        </w:rPr>
      </w:pPr>
      <w:r>
        <w:rPr>
          <w:rFonts w:ascii="Times New Roman" w:eastAsiaTheme="minorHAnsi" w:hAnsi="Times New Roman" w:cs="Times New Roman"/>
          <w:i w:val="0"/>
          <w:iCs w:val="0"/>
          <w:color w:val="auto"/>
          <w:sz w:val="24"/>
          <w:szCs w:val="24"/>
        </w:rPr>
        <w:t>Pri izračunu standardne veličine jediničnog troška koristi se bruto 2 plaća koja uključuje bruto 1 plaću i obvezne doprinose na plaću. Naknade i dodaci na plaću (npr. putni trošak, jubilarna nagrada, dar za djecu, regres, božićnica i dr.) nisu prihvatljivi pri izračunu bruto 2 plaće.</w:t>
      </w:r>
    </w:p>
    <w:p w14:paraId="2FC1D5B2" w14:textId="77777777" w:rsidR="00B741FE" w:rsidRDefault="00B741FE" w:rsidP="00371E12"/>
    <w:sectPr w:rsidR="00B741FE" w:rsidSect="00506FC7">
      <w:headerReference w:type="default" r:id="rId8"/>
      <w:footerReference w:type="default" r:id="rId9"/>
      <w:headerReference w:type="first" r:id="rId10"/>
      <w:footerReference w:type="first" r:id="rId11"/>
      <w:pgSz w:w="12240" w:h="15840"/>
      <w:pgMar w:top="1440" w:right="1440" w:bottom="1440" w:left="1440"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9F20E" w14:textId="77777777" w:rsidR="00913701" w:rsidRDefault="00913701">
      <w:pPr>
        <w:spacing w:after="0" w:line="240" w:lineRule="auto"/>
      </w:pPr>
      <w:r>
        <w:separator/>
      </w:r>
    </w:p>
  </w:endnote>
  <w:endnote w:type="continuationSeparator" w:id="0">
    <w:p w14:paraId="681F3167" w14:textId="77777777" w:rsidR="00913701" w:rsidRDefault="00913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rlito">
    <w:altName w:val="Calibri"/>
    <w:charset w:val="00"/>
    <w:family w:val="auto"/>
    <w:pitch w:val="default"/>
  </w:font>
  <w:font w:name="DejaVu Sans">
    <w:altName w:val="Verdana"/>
    <w:charset w:val="00"/>
    <w:family w:val="auto"/>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636285"/>
      <w:docPartObj>
        <w:docPartGallery w:val="Page Numbers (Top of Page)"/>
        <w:docPartUnique/>
      </w:docPartObj>
    </w:sdtPr>
    <w:sdtEndPr/>
    <w:sdtContent>
      <w:p w14:paraId="43D6A27C" w14:textId="19661770" w:rsidR="00B741FE" w:rsidRDefault="00507F21">
        <w:pPr>
          <w:pStyle w:val="Podnoje"/>
          <w:jc w:val="center"/>
          <w:rPr>
            <w:rFonts w:ascii="Times New Roman" w:hAnsi="Times New Roman" w:cs="Times New Roman"/>
            <w:sz w:val="18"/>
            <w:szCs w:val="18"/>
          </w:rPr>
        </w:pPr>
        <w:r>
          <w:rPr>
            <w:rFonts w:ascii="Times New Roman" w:hAnsi="Times New Roman" w:cs="Times New Roman"/>
            <w:sz w:val="18"/>
            <w:szCs w:val="18"/>
          </w:rPr>
          <w:t xml:space="preserve">Stranica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PAGE </w:instrText>
        </w:r>
        <w:r>
          <w:rPr>
            <w:rFonts w:ascii="Times New Roman" w:hAnsi="Times New Roman" w:cs="Times New Roman"/>
            <w:bCs/>
            <w:sz w:val="18"/>
            <w:szCs w:val="18"/>
          </w:rPr>
          <w:fldChar w:fldCharType="separate"/>
        </w:r>
        <w:r w:rsidR="00506FC7">
          <w:rPr>
            <w:rFonts w:ascii="Times New Roman" w:hAnsi="Times New Roman" w:cs="Times New Roman"/>
            <w:bCs/>
            <w:noProof/>
            <w:sz w:val="18"/>
            <w:szCs w:val="18"/>
          </w:rPr>
          <w:t>1</w:t>
        </w:r>
        <w:r>
          <w:rPr>
            <w:rFonts w:ascii="Times New Roman" w:hAnsi="Times New Roman" w:cs="Times New Roman"/>
            <w:bCs/>
            <w:sz w:val="18"/>
            <w:szCs w:val="18"/>
          </w:rPr>
          <w:fldChar w:fldCharType="end"/>
        </w:r>
        <w:r>
          <w:rPr>
            <w:rFonts w:ascii="Times New Roman" w:hAnsi="Times New Roman" w:cs="Times New Roman"/>
            <w:sz w:val="18"/>
            <w:szCs w:val="18"/>
          </w:rPr>
          <w:t xml:space="preserve"> od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NUMPAGES </w:instrText>
        </w:r>
        <w:r>
          <w:rPr>
            <w:rFonts w:ascii="Times New Roman" w:hAnsi="Times New Roman" w:cs="Times New Roman"/>
            <w:bCs/>
            <w:sz w:val="18"/>
            <w:szCs w:val="18"/>
          </w:rPr>
          <w:fldChar w:fldCharType="separate"/>
        </w:r>
        <w:r w:rsidR="00506FC7">
          <w:rPr>
            <w:rFonts w:ascii="Times New Roman" w:hAnsi="Times New Roman" w:cs="Times New Roman"/>
            <w:bCs/>
            <w:noProof/>
            <w:sz w:val="18"/>
            <w:szCs w:val="18"/>
          </w:rPr>
          <w:t>2</w:t>
        </w:r>
        <w:r>
          <w:rPr>
            <w:rFonts w:ascii="Times New Roman" w:hAnsi="Times New Roman" w:cs="Times New Roman"/>
            <w:bCs/>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5233517"/>
      <w:docPartObj>
        <w:docPartGallery w:val="Page Numbers (Top of Page)"/>
        <w:docPartUnique/>
      </w:docPartObj>
    </w:sdtPr>
    <w:sdtEndPr/>
    <w:sdtContent>
      <w:p w14:paraId="20DCDCBA" w14:textId="77777777" w:rsidR="00B741FE" w:rsidRDefault="00507F21">
        <w:pPr>
          <w:pStyle w:val="Podnoje"/>
          <w:jc w:val="center"/>
          <w:rPr>
            <w:rFonts w:ascii="Times New Roman" w:hAnsi="Times New Roman" w:cs="Times New Roman"/>
            <w:sz w:val="18"/>
            <w:szCs w:val="18"/>
          </w:rPr>
        </w:pPr>
        <w:r>
          <w:rPr>
            <w:rFonts w:ascii="Times New Roman" w:hAnsi="Times New Roman" w:cs="Times New Roman"/>
            <w:sz w:val="18"/>
            <w:szCs w:val="18"/>
          </w:rPr>
          <w:t xml:space="preserve">Stranica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PAGE </w:instrText>
        </w:r>
        <w:r>
          <w:rPr>
            <w:rFonts w:ascii="Times New Roman" w:hAnsi="Times New Roman" w:cs="Times New Roman"/>
            <w:bCs/>
            <w:sz w:val="18"/>
            <w:szCs w:val="18"/>
          </w:rPr>
          <w:fldChar w:fldCharType="separate"/>
        </w:r>
        <w:r>
          <w:rPr>
            <w:rFonts w:ascii="Times New Roman" w:hAnsi="Times New Roman" w:cs="Times New Roman"/>
            <w:bCs/>
            <w:sz w:val="18"/>
            <w:szCs w:val="18"/>
          </w:rPr>
          <w:t>1</w:t>
        </w:r>
        <w:r>
          <w:rPr>
            <w:rFonts w:ascii="Times New Roman" w:hAnsi="Times New Roman" w:cs="Times New Roman"/>
            <w:bCs/>
            <w:sz w:val="18"/>
            <w:szCs w:val="18"/>
          </w:rPr>
          <w:fldChar w:fldCharType="end"/>
        </w:r>
        <w:r>
          <w:rPr>
            <w:rFonts w:ascii="Times New Roman" w:hAnsi="Times New Roman" w:cs="Times New Roman"/>
            <w:sz w:val="18"/>
            <w:szCs w:val="18"/>
          </w:rPr>
          <w:t xml:space="preserve"> od </w:t>
        </w:r>
        <w:r>
          <w:rPr>
            <w:rFonts w:ascii="Times New Roman" w:hAnsi="Times New Roman" w:cs="Times New Roman"/>
            <w:bCs/>
            <w:sz w:val="18"/>
            <w:szCs w:val="18"/>
          </w:rPr>
          <w:fldChar w:fldCharType="begin"/>
        </w:r>
        <w:r>
          <w:rPr>
            <w:rFonts w:ascii="Times New Roman" w:hAnsi="Times New Roman" w:cs="Times New Roman"/>
            <w:bCs/>
            <w:sz w:val="18"/>
            <w:szCs w:val="18"/>
          </w:rPr>
          <w:instrText xml:space="preserve"> NUMPAGES </w:instrText>
        </w:r>
        <w:r>
          <w:rPr>
            <w:rFonts w:ascii="Times New Roman" w:hAnsi="Times New Roman" w:cs="Times New Roman"/>
            <w:bCs/>
            <w:sz w:val="18"/>
            <w:szCs w:val="18"/>
          </w:rPr>
          <w:fldChar w:fldCharType="separate"/>
        </w:r>
        <w:r>
          <w:rPr>
            <w:rFonts w:ascii="Times New Roman" w:hAnsi="Times New Roman" w:cs="Times New Roman"/>
            <w:bCs/>
            <w:sz w:val="18"/>
            <w:szCs w:val="18"/>
          </w:rPr>
          <w:t>7</w:t>
        </w:r>
        <w:r>
          <w:rPr>
            <w:rFonts w:ascii="Times New Roman" w:hAnsi="Times New Roman" w:cs="Times New Roman"/>
            <w:bCs/>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D483B" w14:textId="77777777" w:rsidR="00913701" w:rsidRDefault="00913701">
      <w:pPr>
        <w:spacing w:after="0" w:line="240" w:lineRule="auto"/>
      </w:pPr>
      <w:r>
        <w:separator/>
      </w:r>
    </w:p>
  </w:footnote>
  <w:footnote w:type="continuationSeparator" w:id="0">
    <w:p w14:paraId="55140925" w14:textId="77777777" w:rsidR="00913701" w:rsidRDefault="00913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9FA5A" w14:textId="59F981C1" w:rsidR="00B741FE" w:rsidRDefault="00507F21">
    <w:pPr>
      <w:pStyle w:val="Zaglavlje"/>
      <w:rPr>
        <w:rFonts w:ascii="Times New Roman" w:hAnsi="Times New Roman" w:cs="Times New Roman"/>
      </w:rPr>
    </w:pPr>
    <w:r>
      <w:t xml:space="preserve">  </w:t>
    </w:r>
    <w:r>
      <w:rPr>
        <w:noProof/>
        <w:lang w:eastAsia="hr-HR"/>
      </w:rPr>
      <w:drawing>
        <wp:inline distT="0" distB="0" distL="0" distR="0" wp14:anchorId="7D221C6A" wp14:editId="114DD9CB">
          <wp:extent cx="2119746" cy="593642"/>
          <wp:effectExtent l="0" t="0" r="0" b="0"/>
          <wp:docPr id="1" name="Picture 5"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descr="Graphical user interface, text, application&#10;&#10;Description automatically generated with medium confidence"/>
                  <pic:cNvPicPr>
                    <a:picLocks noChangeAspect="1" noChangeArrowheads="1"/>
                  </pic:cNvPicPr>
                </pic:nvPicPr>
                <pic:blipFill>
                  <a:blip r:embed="rId1"/>
                  <a:stretch>
                    <a:fillRect/>
                  </a:stretch>
                </pic:blipFill>
                <pic:spPr bwMode="auto">
                  <a:xfrm>
                    <a:off x="0" y="0"/>
                    <a:ext cx="2135165" cy="597960"/>
                  </a:xfrm>
                  <a:prstGeom prst="rect">
                    <a:avLst/>
                  </a:prstGeom>
                </pic:spPr>
              </pic:pic>
            </a:graphicData>
          </a:graphic>
        </wp:inline>
      </w:drawing>
    </w:r>
    <w:r>
      <w:rPr>
        <w:lang w:eastAsia="hr-HR"/>
      </w:rPr>
      <w:t xml:space="preserve">                                                                                                                   </w:t>
    </w:r>
  </w:p>
  <w:p w14:paraId="50B62AC8" w14:textId="77777777" w:rsidR="00B741FE" w:rsidRDefault="00B741FE">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9E234" w14:textId="77777777" w:rsidR="00B741FE" w:rsidRDefault="00507F21">
    <w:pPr>
      <w:pStyle w:val="Zaglavlje"/>
      <w:rPr>
        <w:rFonts w:ascii="Times New Roman" w:hAnsi="Times New Roman" w:cs="Times New Roman"/>
      </w:rPr>
    </w:pPr>
    <w:r>
      <w:t xml:space="preserve">  </w:t>
    </w:r>
    <w:r>
      <w:rPr>
        <w:noProof/>
        <w:lang w:eastAsia="hr-HR"/>
      </w:rPr>
      <w:drawing>
        <wp:inline distT="0" distB="0" distL="0" distR="0" wp14:anchorId="36CD9E20" wp14:editId="0937F630">
          <wp:extent cx="2371725" cy="664210"/>
          <wp:effectExtent l="0" t="0" r="0" b="0"/>
          <wp:docPr id="3" name="Picture 5"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Graphical user interface, text, application&#10;&#10;Description automatically generated with medium confidence"/>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lang w:eastAsia="hr-HR"/>
      </w:rPr>
      <w:t xml:space="preserve">                                                                                                  </w:t>
    </w:r>
    <w:r>
      <w:rPr>
        <w:noProof/>
        <w:lang w:eastAsia="hr-HR"/>
      </w:rPr>
      <w:drawing>
        <wp:inline distT="0" distB="0" distL="0" distR="0" wp14:anchorId="42EC4AA2" wp14:editId="7DF7EF5B">
          <wp:extent cx="2463165" cy="676910"/>
          <wp:effectExtent l="0" t="0" r="0" b="0"/>
          <wp:docPr id="4" name="Picture 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Text&#10;&#10;Description automatically generated"/>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r>
      <w:rPr>
        <w:lang w:eastAsia="hr-HR"/>
      </w:rPr>
      <w:t xml:space="preserve">                 </w:t>
    </w:r>
  </w:p>
  <w:p w14:paraId="13E7B67E" w14:textId="77777777" w:rsidR="00B741FE" w:rsidRDefault="00B741FE">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6F009E"/>
    <w:multiLevelType w:val="multilevel"/>
    <w:tmpl w:val="963031AA"/>
    <w:lvl w:ilvl="0">
      <w:start w:val="1"/>
      <w:numFmt w:val="bullet"/>
      <w:lvlText w:val=""/>
      <w:lvlJc w:val="left"/>
      <w:pPr>
        <w:tabs>
          <w:tab w:val="num" w:pos="0"/>
        </w:tabs>
        <w:ind w:left="732" w:hanging="360"/>
      </w:pPr>
      <w:rPr>
        <w:rFonts w:ascii="Symbol" w:hAnsi="Symbol" w:cs="Symbol" w:hint="default"/>
      </w:rPr>
    </w:lvl>
    <w:lvl w:ilvl="1">
      <w:start w:val="1"/>
      <w:numFmt w:val="bullet"/>
      <w:lvlText w:val="o"/>
      <w:lvlJc w:val="left"/>
      <w:pPr>
        <w:tabs>
          <w:tab w:val="num" w:pos="0"/>
        </w:tabs>
        <w:ind w:left="1452" w:hanging="360"/>
      </w:pPr>
      <w:rPr>
        <w:rFonts w:ascii="Courier New" w:hAnsi="Courier New" w:cs="Courier New" w:hint="default"/>
      </w:rPr>
    </w:lvl>
    <w:lvl w:ilvl="2">
      <w:start w:val="1"/>
      <w:numFmt w:val="bullet"/>
      <w:lvlText w:val=""/>
      <w:lvlJc w:val="left"/>
      <w:pPr>
        <w:tabs>
          <w:tab w:val="num" w:pos="0"/>
        </w:tabs>
        <w:ind w:left="2172" w:hanging="360"/>
      </w:pPr>
      <w:rPr>
        <w:rFonts w:ascii="Wingdings" w:hAnsi="Wingdings" w:cs="Wingdings" w:hint="default"/>
      </w:rPr>
    </w:lvl>
    <w:lvl w:ilvl="3">
      <w:start w:val="1"/>
      <w:numFmt w:val="bullet"/>
      <w:lvlText w:val=""/>
      <w:lvlJc w:val="left"/>
      <w:pPr>
        <w:tabs>
          <w:tab w:val="num" w:pos="0"/>
        </w:tabs>
        <w:ind w:left="2892" w:hanging="360"/>
      </w:pPr>
      <w:rPr>
        <w:rFonts w:ascii="Symbol" w:hAnsi="Symbol" w:cs="Symbol" w:hint="default"/>
      </w:rPr>
    </w:lvl>
    <w:lvl w:ilvl="4">
      <w:start w:val="1"/>
      <w:numFmt w:val="bullet"/>
      <w:lvlText w:val="o"/>
      <w:lvlJc w:val="left"/>
      <w:pPr>
        <w:tabs>
          <w:tab w:val="num" w:pos="0"/>
        </w:tabs>
        <w:ind w:left="3612" w:hanging="360"/>
      </w:pPr>
      <w:rPr>
        <w:rFonts w:ascii="Courier New" w:hAnsi="Courier New" w:cs="Courier New" w:hint="default"/>
      </w:rPr>
    </w:lvl>
    <w:lvl w:ilvl="5">
      <w:start w:val="1"/>
      <w:numFmt w:val="bullet"/>
      <w:lvlText w:val=""/>
      <w:lvlJc w:val="left"/>
      <w:pPr>
        <w:tabs>
          <w:tab w:val="num" w:pos="0"/>
        </w:tabs>
        <w:ind w:left="4332" w:hanging="360"/>
      </w:pPr>
      <w:rPr>
        <w:rFonts w:ascii="Wingdings" w:hAnsi="Wingdings" w:cs="Wingdings" w:hint="default"/>
      </w:rPr>
    </w:lvl>
    <w:lvl w:ilvl="6">
      <w:start w:val="1"/>
      <w:numFmt w:val="bullet"/>
      <w:lvlText w:val=""/>
      <w:lvlJc w:val="left"/>
      <w:pPr>
        <w:tabs>
          <w:tab w:val="num" w:pos="0"/>
        </w:tabs>
        <w:ind w:left="5052" w:hanging="360"/>
      </w:pPr>
      <w:rPr>
        <w:rFonts w:ascii="Symbol" w:hAnsi="Symbol" w:cs="Symbol" w:hint="default"/>
      </w:rPr>
    </w:lvl>
    <w:lvl w:ilvl="7">
      <w:start w:val="1"/>
      <w:numFmt w:val="bullet"/>
      <w:lvlText w:val="o"/>
      <w:lvlJc w:val="left"/>
      <w:pPr>
        <w:tabs>
          <w:tab w:val="num" w:pos="0"/>
        </w:tabs>
        <w:ind w:left="5772" w:hanging="360"/>
      </w:pPr>
      <w:rPr>
        <w:rFonts w:ascii="Courier New" w:hAnsi="Courier New" w:cs="Courier New" w:hint="default"/>
      </w:rPr>
    </w:lvl>
    <w:lvl w:ilvl="8">
      <w:start w:val="1"/>
      <w:numFmt w:val="bullet"/>
      <w:lvlText w:val=""/>
      <w:lvlJc w:val="left"/>
      <w:pPr>
        <w:tabs>
          <w:tab w:val="num" w:pos="0"/>
        </w:tabs>
        <w:ind w:left="6492" w:hanging="360"/>
      </w:pPr>
      <w:rPr>
        <w:rFonts w:ascii="Wingdings" w:hAnsi="Wingdings" w:cs="Wingdings" w:hint="default"/>
      </w:rPr>
    </w:lvl>
  </w:abstractNum>
  <w:abstractNum w:abstractNumId="1" w15:restartNumberingAfterBreak="0">
    <w:nsid w:val="5ABD40E1"/>
    <w:multiLevelType w:val="multilevel"/>
    <w:tmpl w:val="929A9F88"/>
    <w:lvl w:ilvl="0">
      <w:start w:val="1"/>
      <w:numFmt w:val="lowerRoman"/>
      <w:lvlText w:val="%1."/>
      <w:lvlJc w:val="right"/>
      <w:pPr>
        <w:tabs>
          <w:tab w:val="num" w:pos="0"/>
        </w:tabs>
        <w:ind w:left="92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2" w15:restartNumberingAfterBreak="0">
    <w:nsid w:val="70036B7C"/>
    <w:multiLevelType w:val="multilevel"/>
    <w:tmpl w:val="611CCBF4"/>
    <w:lvl w:ilvl="0">
      <w:start w:val="1"/>
      <w:numFmt w:val="bullet"/>
      <w:pStyle w:val="bullets"/>
      <w:lvlText w:val=""/>
      <w:lvlJc w:val="left"/>
      <w:pPr>
        <w:tabs>
          <w:tab w:val="num" w:pos="0"/>
        </w:tabs>
        <w:ind w:left="757" w:hanging="360"/>
      </w:pPr>
      <w:rPr>
        <w:rFonts w:ascii="Symbol" w:hAnsi="Symbol" w:cs="Symbol" w:hint="default"/>
      </w:rPr>
    </w:lvl>
    <w:lvl w:ilvl="1">
      <w:start w:val="1"/>
      <w:numFmt w:val="bullet"/>
      <w:lvlText w:val="o"/>
      <w:lvlJc w:val="left"/>
      <w:pPr>
        <w:tabs>
          <w:tab w:val="num" w:pos="0"/>
        </w:tabs>
        <w:ind w:left="1477" w:hanging="360"/>
      </w:pPr>
      <w:rPr>
        <w:rFonts w:ascii="Courier New" w:hAnsi="Courier New" w:cs="Courier New" w:hint="default"/>
      </w:rPr>
    </w:lvl>
    <w:lvl w:ilvl="2">
      <w:start w:val="1"/>
      <w:numFmt w:val="bullet"/>
      <w:lvlText w:val=""/>
      <w:lvlJc w:val="left"/>
      <w:pPr>
        <w:tabs>
          <w:tab w:val="num" w:pos="0"/>
        </w:tabs>
        <w:ind w:left="2197" w:hanging="360"/>
      </w:pPr>
      <w:rPr>
        <w:rFonts w:ascii="Wingdings" w:hAnsi="Wingdings" w:cs="Wingdings" w:hint="default"/>
      </w:rPr>
    </w:lvl>
    <w:lvl w:ilvl="3">
      <w:start w:val="1"/>
      <w:numFmt w:val="bullet"/>
      <w:lvlText w:val=""/>
      <w:lvlJc w:val="left"/>
      <w:pPr>
        <w:tabs>
          <w:tab w:val="num" w:pos="0"/>
        </w:tabs>
        <w:ind w:left="2917" w:hanging="360"/>
      </w:pPr>
      <w:rPr>
        <w:rFonts w:ascii="Symbol" w:hAnsi="Symbol" w:cs="Symbol" w:hint="default"/>
      </w:rPr>
    </w:lvl>
    <w:lvl w:ilvl="4">
      <w:start w:val="1"/>
      <w:numFmt w:val="bullet"/>
      <w:lvlText w:val="o"/>
      <w:lvlJc w:val="left"/>
      <w:pPr>
        <w:tabs>
          <w:tab w:val="num" w:pos="0"/>
        </w:tabs>
        <w:ind w:left="3637" w:hanging="360"/>
      </w:pPr>
      <w:rPr>
        <w:rFonts w:ascii="Courier New" w:hAnsi="Courier New" w:cs="Courier New" w:hint="default"/>
      </w:rPr>
    </w:lvl>
    <w:lvl w:ilvl="5">
      <w:start w:val="1"/>
      <w:numFmt w:val="bullet"/>
      <w:lvlText w:val=""/>
      <w:lvlJc w:val="left"/>
      <w:pPr>
        <w:tabs>
          <w:tab w:val="num" w:pos="0"/>
        </w:tabs>
        <w:ind w:left="4357" w:hanging="360"/>
      </w:pPr>
      <w:rPr>
        <w:rFonts w:ascii="Wingdings" w:hAnsi="Wingdings" w:cs="Wingdings" w:hint="default"/>
      </w:rPr>
    </w:lvl>
    <w:lvl w:ilvl="6">
      <w:start w:val="1"/>
      <w:numFmt w:val="bullet"/>
      <w:lvlText w:val=""/>
      <w:lvlJc w:val="left"/>
      <w:pPr>
        <w:tabs>
          <w:tab w:val="num" w:pos="0"/>
        </w:tabs>
        <w:ind w:left="5077" w:hanging="360"/>
      </w:pPr>
      <w:rPr>
        <w:rFonts w:ascii="Symbol" w:hAnsi="Symbol" w:cs="Symbol" w:hint="default"/>
      </w:rPr>
    </w:lvl>
    <w:lvl w:ilvl="7">
      <w:start w:val="1"/>
      <w:numFmt w:val="bullet"/>
      <w:lvlText w:val="o"/>
      <w:lvlJc w:val="left"/>
      <w:pPr>
        <w:tabs>
          <w:tab w:val="num" w:pos="0"/>
        </w:tabs>
        <w:ind w:left="5797" w:hanging="360"/>
      </w:pPr>
      <w:rPr>
        <w:rFonts w:ascii="Courier New" w:hAnsi="Courier New" w:cs="Courier New" w:hint="default"/>
      </w:rPr>
    </w:lvl>
    <w:lvl w:ilvl="8">
      <w:start w:val="1"/>
      <w:numFmt w:val="bullet"/>
      <w:lvlText w:val=""/>
      <w:lvlJc w:val="left"/>
      <w:pPr>
        <w:tabs>
          <w:tab w:val="num" w:pos="0"/>
        </w:tabs>
        <w:ind w:left="6517" w:hanging="360"/>
      </w:pPr>
      <w:rPr>
        <w:rFonts w:ascii="Wingdings" w:hAnsi="Wingdings" w:cs="Wingdings" w:hint="default"/>
      </w:rPr>
    </w:lvl>
  </w:abstractNum>
  <w:abstractNum w:abstractNumId="3" w15:restartNumberingAfterBreak="0">
    <w:nsid w:val="7333458A"/>
    <w:multiLevelType w:val="multilevel"/>
    <w:tmpl w:val="E04A0F6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743725305">
    <w:abstractNumId w:val="3"/>
  </w:num>
  <w:num w:numId="2" w16cid:durableId="2122067832">
    <w:abstractNumId w:val="2"/>
  </w:num>
  <w:num w:numId="3" w16cid:durableId="1972830237">
    <w:abstractNumId w:val="1"/>
  </w:num>
  <w:num w:numId="4" w16cid:durableId="1544635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1FE"/>
    <w:rsid w:val="00035E3C"/>
    <w:rsid w:val="00114A2B"/>
    <w:rsid w:val="00371E12"/>
    <w:rsid w:val="00506FC7"/>
    <w:rsid w:val="00507F21"/>
    <w:rsid w:val="00573F60"/>
    <w:rsid w:val="0084764E"/>
    <w:rsid w:val="008B0F2C"/>
    <w:rsid w:val="00913701"/>
    <w:rsid w:val="009954CD"/>
    <w:rsid w:val="00B24E6E"/>
    <w:rsid w:val="00B741FE"/>
    <w:rsid w:val="00BD646B"/>
    <w:rsid w:val="00CC12A0"/>
    <w:rsid w:val="00D02452"/>
    <w:rsid w:val="00E51350"/>
    <w:rsid w:val="00ED5070"/>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6AAB00"/>
  <w15:docId w15:val="{42F4BDED-7270-4F5B-AE51-39E39F66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577"/>
    <w:pPr>
      <w:spacing w:after="200" w:line="276" w:lineRule="auto"/>
    </w:pPr>
    <w:rPr>
      <w:rFonts w:ascii="Calibri" w:eastAsiaTheme="minorEastAsia" w:hAnsi="Calibri"/>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bulletsChar">
    <w:name w:val="bullets Char"/>
    <w:link w:val="bullets"/>
    <w:qFormat/>
    <w:rsid w:val="00DE2577"/>
    <w:rPr>
      <w:lang w:val="en-GB"/>
    </w:rPr>
  </w:style>
  <w:style w:type="character" w:customStyle="1" w:styleId="Bodytext285pt">
    <w:name w:val="Body text (2) + 8;5 pt"/>
    <w:basedOn w:val="Zadanifontodlomka"/>
    <w:qFormat/>
    <w:rsid w:val="00DE2577"/>
    <w:rPr>
      <w:rFonts w:ascii="Times New Roman" w:eastAsia="Times New Roman" w:hAnsi="Times New Roman" w:cs="Times New Roman"/>
      <w:b w:val="0"/>
      <w:bCs w:val="0"/>
      <w:i w:val="0"/>
      <w:iCs w:val="0"/>
      <w:caps w:val="0"/>
      <w:smallCaps w:val="0"/>
      <w:strike w:val="0"/>
      <w:dstrike w:val="0"/>
      <w:color w:val="000000"/>
      <w:spacing w:val="0"/>
      <w:w w:val="100"/>
      <w:sz w:val="17"/>
      <w:szCs w:val="17"/>
      <w:u w:val="none"/>
      <w:lang w:val="en-US"/>
    </w:rPr>
  </w:style>
  <w:style w:type="character" w:customStyle="1" w:styleId="TekstfusnoteChar">
    <w:name w:val="Tekst fusnote Char"/>
    <w:basedOn w:val="Zadanifontodlomka"/>
    <w:link w:val="Tekstfusnote"/>
    <w:uiPriority w:val="99"/>
    <w:semiHidden/>
    <w:qFormat/>
    <w:rsid w:val="00317EF4"/>
    <w:rPr>
      <w:rFonts w:eastAsiaTheme="minorEastAsia"/>
      <w:sz w:val="20"/>
      <w:szCs w:val="20"/>
      <w:lang w:val="hr-HR"/>
    </w:rPr>
  </w:style>
  <w:style w:type="character" w:customStyle="1" w:styleId="FootnoteCharacters">
    <w:name w:val="Footnote Characters"/>
    <w:basedOn w:val="Zadanifontodlomka"/>
    <w:uiPriority w:val="99"/>
    <w:semiHidden/>
    <w:unhideWhenUsed/>
    <w:qFormat/>
    <w:rsid w:val="00317EF4"/>
    <w:rPr>
      <w:vertAlign w:val="superscript"/>
    </w:rPr>
  </w:style>
  <w:style w:type="character" w:styleId="Referencafusnote">
    <w:name w:val="footnote reference"/>
    <w:rPr>
      <w:vertAlign w:val="superscript"/>
    </w:rPr>
  </w:style>
  <w:style w:type="character" w:customStyle="1" w:styleId="ZaglavljeChar">
    <w:name w:val="Zaglavlje Char"/>
    <w:basedOn w:val="Zadanifontodlomka"/>
    <w:link w:val="Zaglavlje"/>
    <w:uiPriority w:val="99"/>
    <w:qFormat/>
    <w:rsid w:val="00581EF2"/>
    <w:rPr>
      <w:rFonts w:eastAsiaTheme="minorEastAsia"/>
      <w:lang w:val="hr-HR"/>
    </w:rPr>
  </w:style>
  <w:style w:type="character" w:customStyle="1" w:styleId="PodnojeChar">
    <w:name w:val="Podnožje Char"/>
    <w:basedOn w:val="Zadanifontodlomka"/>
    <w:link w:val="Podnoje"/>
    <w:uiPriority w:val="99"/>
    <w:qFormat/>
    <w:rsid w:val="00581EF2"/>
    <w:rPr>
      <w:rFonts w:eastAsiaTheme="minorEastAsia"/>
      <w:lang w:val="hr-HR"/>
    </w:rPr>
  </w:style>
  <w:style w:type="character" w:styleId="Hiperveza">
    <w:name w:val="Hyperlink"/>
    <w:basedOn w:val="Zadanifontodlomka"/>
    <w:uiPriority w:val="99"/>
    <w:semiHidden/>
    <w:unhideWhenUsed/>
    <w:rsid w:val="00523831"/>
    <w:rPr>
      <w:color w:val="0563C1"/>
      <w:u w:val="single"/>
    </w:rPr>
  </w:style>
  <w:style w:type="character" w:styleId="SlijeenaHiperveza">
    <w:name w:val="FollowedHyperlink"/>
    <w:basedOn w:val="Zadanifontodlomka"/>
    <w:uiPriority w:val="99"/>
    <w:semiHidden/>
    <w:unhideWhenUsed/>
    <w:rsid w:val="00523831"/>
    <w:rPr>
      <w:color w:val="954F72"/>
      <w:u w:val="single"/>
    </w:rPr>
  </w:style>
  <w:style w:type="character" w:styleId="Referencakomentara">
    <w:name w:val="annotation reference"/>
    <w:basedOn w:val="Zadanifontodlomka"/>
    <w:uiPriority w:val="99"/>
    <w:semiHidden/>
    <w:unhideWhenUsed/>
    <w:qFormat/>
    <w:rsid w:val="0004425A"/>
    <w:rPr>
      <w:sz w:val="16"/>
      <w:szCs w:val="16"/>
    </w:rPr>
  </w:style>
  <w:style w:type="character" w:customStyle="1" w:styleId="TekstkomentaraChar">
    <w:name w:val="Tekst komentara Char"/>
    <w:basedOn w:val="Zadanifontodlomka"/>
    <w:link w:val="Tekstkomentara"/>
    <w:uiPriority w:val="99"/>
    <w:semiHidden/>
    <w:qFormat/>
    <w:rsid w:val="0004425A"/>
    <w:rPr>
      <w:rFonts w:eastAsiaTheme="minorEastAsia"/>
      <w:sz w:val="20"/>
      <w:szCs w:val="20"/>
      <w:lang w:val="hr-HR"/>
    </w:rPr>
  </w:style>
  <w:style w:type="character" w:customStyle="1" w:styleId="PredmetkomentaraChar">
    <w:name w:val="Predmet komentara Char"/>
    <w:basedOn w:val="TekstkomentaraChar"/>
    <w:link w:val="Predmetkomentara"/>
    <w:uiPriority w:val="99"/>
    <w:semiHidden/>
    <w:qFormat/>
    <w:rsid w:val="0004425A"/>
    <w:rPr>
      <w:rFonts w:eastAsiaTheme="minorEastAsia"/>
      <w:b/>
      <w:bCs/>
      <w:sz w:val="20"/>
      <w:szCs w:val="20"/>
      <w:lang w:val="hr-HR"/>
    </w:rPr>
  </w:style>
  <w:style w:type="character" w:customStyle="1" w:styleId="TekstbaloniaChar">
    <w:name w:val="Tekst balončića Char"/>
    <w:basedOn w:val="Zadanifontodlomka"/>
    <w:link w:val="Tekstbalonia"/>
    <w:uiPriority w:val="99"/>
    <w:semiHidden/>
    <w:qFormat/>
    <w:rsid w:val="0004425A"/>
    <w:rPr>
      <w:rFonts w:ascii="Segoe UI" w:eastAsiaTheme="minorEastAsia" w:hAnsi="Segoe UI" w:cs="Segoe UI"/>
      <w:sz w:val="18"/>
      <w:szCs w:val="18"/>
      <w:lang w:val="hr-HR"/>
    </w:rPr>
  </w:style>
  <w:style w:type="character" w:styleId="Brojretka">
    <w:name w:val="line number"/>
  </w:style>
  <w:style w:type="paragraph" w:customStyle="1" w:styleId="Heading">
    <w:name w:val="Heading"/>
    <w:basedOn w:val="Normal"/>
    <w:next w:val="Tijeloteksta"/>
    <w:qFormat/>
    <w:pPr>
      <w:keepNext/>
      <w:spacing w:before="240" w:after="120"/>
    </w:pPr>
    <w:rPr>
      <w:rFonts w:ascii="Carlito" w:eastAsia="DejaVu Sans" w:hAnsi="Carlito" w:cs="DejaVu Sans"/>
      <w:sz w:val="28"/>
      <w:szCs w:val="28"/>
    </w:rPr>
  </w:style>
  <w:style w:type="paragraph" w:styleId="Tijeloteksta">
    <w:name w:val="Body Text"/>
    <w:basedOn w:val="Normal"/>
    <w:pPr>
      <w:spacing w:after="140"/>
    </w:pPr>
  </w:style>
  <w:style w:type="paragraph" w:styleId="Popis">
    <w:name w:val="List"/>
    <w:basedOn w:val="Tijeloteksta"/>
  </w:style>
  <w:style w:type="paragraph" w:styleId="Opisslike">
    <w:name w:val="caption"/>
    <w:basedOn w:val="Normal"/>
    <w:next w:val="Normal"/>
    <w:uiPriority w:val="35"/>
    <w:unhideWhenUsed/>
    <w:qFormat/>
    <w:rsid w:val="00AE3913"/>
    <w:pPr>
      <w:spacing w:line="240" w:lineRule="auto"/>
    </w:pPr>
    <w:rPr>
      <w:i/>
      <w:iCs/>
      <w:color w:val="44546A" w:themeColor="text2"/>
      <w:sz w:val="18"/>
      <w:szCs w:val="18"/>
    </w:rPr>
  </w:style>
  <w:style w:type="paragraph" w:customStyle="1" w:styleId="Index">
    <w:name w:val="Index"/>
    <w:basedOn w:val="Normal"/>
    <w:qFormat/>
    <w:pPr>
      <w:suppressLineNumbers/>
    </w:pPr>
  </w:style>
  <w:style w:type="paragraph" w:styleId="Bezproreda">
    <w:name w:val="No Spacing"/>
    <w:basedOn w:val="Normal"/>
    <w:uiPriority w:val="1"/>
    <w:qFormat/>
    <w:rsid w:val="00DE2577"/>
    <w:pPr>
      <w:spacing w:after="0" w:line="240" w:lineRule="auto"/>
    </w:pPr>
  </w:style>
  <w:style w:type="paragraph" w:customStyle="1" w:styleId="bullets">
    <w:name w:val="bullets"/>
    <w:basedOn w:val="Odlomakpopisa"/>
    <w:link w:val="bulletsChar"/>
    <w:qFormat/>
    <w:rsid w:val="00DE2577"/>
    <w:pPr>
      <w:numPr>
        <w:numId w:val="2"/>
      </w:numPr>
      <w:spacing w:after="0" w:line="240" w:lineRule="auto"/>
      <w:contextualSpacing w:val="0"/>
    </w:pPr>
    <w:rPr>
      <w:rFonts w:eastAsiaTheme="minorHAnsi"/>
      <w:lang w:val="en-GB"/>
    </w:rPr>
  </w:style>
  <w:style w:type="paragraph" w:styleId="Odlomakpopisa">
    <w:name w:val="List Paragraph"/>
    <w:basedOn w:val="Normal"/>
    <w:uiPriority w:val="34"/>
    <w:qFormat/>
    <w:rsid w:val="00DE2577"/>
    <w:pPr>
      <w:ind w:left="720"/>
      <w:contextualSpacing/>
    </w:pPr>
  </w:style>
  <w:style w:type="paragraph" w:styleId="Tekstfusnote">
    <w:name w:val="footnote text"/>
    <w:basedOn w:val="Normal"/>
    <w:link w:val="TekstfusnoteChar"/>
    <w:uiPriority w:val="99"/>
    <w:semiHidden/>
    <w:unhideWhenUsed/>
    <w:rsid w:val="00317EF4"/>
    <w:pPr>
      <w:spacing w:after="0" w:line="240" w:lineRule="auto"/>
    </w:pPr>
    <w:rPr>
      <w:sz w:val="20"/>
      <w:szCs w:val="20"/>
    </w:rPr>
  </w:style>
  <w:style w:type="paragraph" w:customStyle="1" w:styleId="HeaderandFooter">
    <w:name w:val="Header and Footer"/>
    <w:basedOn w:val="Normal"/>
    <w:qFormat/>
  </w:style>
  <w:style w:type="paragraph" w:styleId="Zaglavlje">
    <w:name w:val="header"/>
    <w:basedOn w:val="Normal"/>
    <w:link w:val="ZaglavljeChar"/>
    <w:uiPriority w:val="99"/>
    <w:unhideWhenUsed/>
    <w:rsid w:val="00581EF2"/>
    <w:pPr>
      <w:tabs>
        <w:tab w:val="center" w:pos="4536"/>
        <w:tab w:val="right" w:pos="9072"/>
      </w:tabs>
      <w:spacing w:after="0" w:line="240" w:lineRule="auto"/>
    </w:pPr>
  </w:style>
  <w:style w:type="paragraph" w:styleId="Podnoje">
    <w:name w:val="footer"/>
    <w:basedOn w:val="Normal"/>
    <w:link w:val="PodnojeChar"/>
    <w:uiPriority w:val="99"/>
    <w:unhideWhenUsed/>
    <w:rsid w:val="00581EF2"/>
    <w:pPr>
      <w:tabs>
        <w:tab w:val="center" w:pos="4536"/>
        <w:tab w:val="right" w:pos="9072"/>
      </w:tabs>
      <w:spacing w:after="0" w:line="240" w:lineRule="auto"/>
    </w:pPr>
  </w:style>
  <w:style w:type="paragraph" w:customStyle="1" w:styleId="xl65">
    <w:name w:val="xl65"/>
    <w:basedOn w:val="Normal"/>
    <w:qFormat/>
    <w:rsid w:val="00523831"/>
    <w:pPr>
      <w:pBdr>
        <w:top w:val="single" w:sz="4" w:space="0" w:color="000000"/>
        <w:left w:val="single" w:sz="4" w:space="0" w:color="000000"/>
        <w:bottom w:val="single" w:sz="4" w:space="0" w:color="000000"/>
        <w:right w:val="single" w:sz="4" w:space="0" w:color="000000"/>
      </w:pBdr>
      <w:spacing w:beforeAutospacing="1" w:afterAutospacing="1" w:line="240" w:lineRule="auto"/>
      <w:jc w:val="center"/>
    </w:pPr>
    <w:rPr>
      <w:rFonts w:ascii="Times New Roman" w:eastAsia="Times New Roman" w:hAnsi="Times New Roman" w:cs="Times New Roman"/>
      <w:sz w:val="24"/>
      <w:szCs w:val="24"/>
      <w:lang w:eastAsia="hr-HR"/>
    </w:rPr>
  </w:style>
  <w:style w:type="paragraph" w:customStyle="1" w:styleId="xl66">
    <w:name w:val="xl66"/>
    <w:basedOn w:val="Normal"/>
    <w:qFormat/>
    <w:rsid w:val="00523831"/>
    <w:pPr>
      <w:pBdr>
        <w:top w:val="single" w:sz="4" w:space="0" w:color="000000"/>
        <w:left w:val="single" w:sz="4" w:space="0" w:color="000000"/>
        <w:bottom w:val="single" w:sz="4" w:space="0" w:color="000000"/>
        <w:right w:val="single" w:sz="4" w:space="0" w:color="000000"/>
      </w:pBdr>
      <w:spacing w:beforeAutospacing="1" w:afterAutospacing="1" w:line="240" w:lineRule="auto"/>
      <w:jc w:val="center"/>
    </w:pPr>
    <w:rPr>
      <w:rFonts w:ascii="Times New Roman" w:eastAsia="Times New Roman" w:hAnsi="Times New Roman" w:cs="Times New Roman"/>
      <w:sz w:val="24"/>
      <w:szCs w:val="24"/>
      <w:lang w:eastAsia="hr-HR"/>
    </w:rPr>
  </w:style>
  <w:style w:type="paragraph" w:customStyle="1" w:styleId="xl67">
    <w:name w:val="xl67"/>
    <w:basedOn w:val="Normal"/>
    <w:qFormat/>
    <w:rsid w:val="0052383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New Roman" w:eastAsia="Times New Roman" w:hAnsi="Times New Roman" w:cs="Times New Roman"/>
      <w:sz w:val="24"/>
      <w:szCs w:val="24"/>
      <w:lang w:eastAsia="hr-HR"/>
    </w:rPr>
  </w:style>
  <w:style w:type="paragraph" w:customStyle="1" w:styleId="xl68">
    <w:name w:val="xl68"/>
    <w:basedOn w:val="Normal"/>
    <w:qFormat/>
    <w:rsid w:val="0052383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New Roman" w:eastAsia="Times New Roman" w:hAnsi="Times New Roman" w:cs="Times New Roman"/>
      <w:sz w:val="24"/>
      <w:szCs w:val="24"/>
      <w:lang w:eastAsia="hr-HR"/>
    </w:rPr>
  </w:style>
  <w:style w:type="paragraph" w:customStyle="1" w:styleId="xl69">
    <w:name w:val="xl69"/>
    <w:basedOn w:val="Normal"/>
    <w:qFormat/>
    <w:rsid w:val="0052383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New Roman" w:eastAsia="Times New Roman" w:hAnsi="Times New Roman" w:cs="Times New Roman"/>
      <w:sz w:val="24"/>
      <w:szCs w:val="24"/>
      <w:lang w:eastAsia="hr-HR"/>
    </w:rPr>
  </w:style>
  <w:style w:type="paragraph" w:customStyle="1" w:styleId="xl70">
    <w:name w:val="xl70"/>
    <w:basedOn w:val="Normal"/>
    <w:qFormat/>
    <w:rsid w:val="00523831"/>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Times New Roman" w:eastAsia="Times New Roman" w:hAnsi="Times New Roman" w:cs="Times New Roman"/>
      <w:sz w:val="24"/>
      <w:szCs w:val="24"/>
      <w:lang w:eastAsia="hr-HR"/>
    </w:rPr>
  </w:style>
  <w:style w:type="paragraph" w:styleId="Revizija">
    <w:name w:val="Revision"/>
    <w:uiPriority w:val="99"/>
    <w:semiHidden/>
    <w:qFormat/>
    <w:rsid w:val="00523831"/>
    <w:rPr>
      <w:rFonts w:ascii="Calibri" w:eastAsiaTheme="minorEastAsia" w:hAnsi="Calibri"/>
      <w:lang w:val="hr-HR"/>
    </w:rPr>
  </w:style>
  <w:style w:type="paragraph" w:styleId="Tekstkomentara">
    <w:name w:val="annotation text"/>
    <w:basedOn w:val="Normal"/>
    <w:link w:val="TekstkomentaraChar"/>
    <w:uiPriority w:val="99"/>
    <w:semiHidden/>
    <w:unhideWhenUsed/>
    <w:rsid w:val="0004425A"/>
    <w:pPr>
      <w:spacing w:line="240" w:lineRule="auto"/>
    </w:pPr>
    <w:rPr>
      <w:sz w:val="20"/>
      <w:szCs w:val="20"/>
    </w:rPr>
  </w:style>
  <w:style w:type="paragraph" w:styleId="Predmetkomentara">
    <w:name w:val="annotation subject"/>
    <w:basedOn w:val="Tekstkomentara"/>
    <w:next w:val="Tekstkomentara"/>
    <w:link w:val="PredmetkomentaraChar"/>
    <w:uiPriority w:val="99"/>
    <w:semiHidden/>
    <w:unhideWhenUsed/>
    <w:qFormat/>
    <w:rsid w:val="0004425A"/>
    <w:rPr>
      <w:b/>
      <w:bCs/>
    </w:rPr>
  </w:style>
  <w:style w:type="paragraph" w:styleId="Tekstbalonia">
    <w:name w:val="Balloon Text"/>
    <w:basedOn w:val="Normal"/>
    <w:link w:val="TekstbaloniaChar"/>
    <w:uiPriority w:val="99"/>
    <w:semiHidden/>
    <w:unhideWhenUsed/>
    <w:qFormat/>
    <w:rsid w:val="0004425A"/>
    <w:pPr>
      <w:spacing w:after="0" w:line="240" w:lineRule="auto"/>
    </w:pPr>
    <w:rPr>
      <w:rFonts w:ascii="Segoe UI" w:hAnsi="Segoe UI" w:cs="Segoe UI"/>
      <w:sz w:val="18"/>
      <w:szCs w:val="18"/>
    </w:rPr>
  </w:style>
  <w:style w:type="table" w:styleId="Reetkatablice">
    <w:name w:val="Table Grid"/>
    <w:basedOn w:val="Obinatablica"/>
    <w:uiPriority w:val="39"/>
    <w:rsid w:val="002F5637"/>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56896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6EF33-2B6C-4FF2-90FC-5302D889B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567</Words>
  <Characters>3235</Characters>
  <Application>Microsoft Office Word</Application>
  <DocSecurity>0</DocSecurity>
  <Lines>26</Lines>
  <Paragraphs>7</Paragraphs>
  <ScaleCrop>false</ScaleCrop>
  <Company/>
  <LinksUpToDate>false</LinksUpToDate>
  <CharactersWithSpaces>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Zoretic</dc:creator>
  <dc:description/>
  <cp:lastModifiedBy>Ivana Koporčić</cp:lastModifiedBy>
  <cp:revision>36</cp:revision>
  <dcterms:created xsi:type="dcterms:W3CDTF">2022-04-21T12:55:00Z</dcterms:created>
  <dcterms:modified xsi:type="dcterms:W3CDTF">2026-02-26T15:21:00Z</dcterms:modified>
  <dc:language>en-US</dc:language>
</cp:coreProperties>
</file>